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DAC92">
      <w:pPr>
        <w:spacing w:line="360" w:lineRule="auto"/>
        <w:jc w:val="both"/>
        <w:rPr>
          <w:rFonts w:ascii="Times New Roman" w:hAnsi="Times New Roman" w:cs="Times New Roman"/>
          <w:b/>
          <w:bCs/>
          <w:sz w:val="32"/>
          <w:szCs w:val="32"/>
        </w:rPr>
      </w:pPr>
      <w:r>
        <w:rPr>
          <w:rFonts w:hint="eastAsia" w:ascii="方正小标宋简体" w:hAnsi="方正小标宋简体" w:eastAsia="方正小标宋简体" w:cs="方正小标宋简体"/>
          <w:b w:val="0"/>
          <w:bCs w:val="0"/>
          <w:sz w:val="44"/>
          <w:szCs w:val="44"/>
          <w:lang w:eastAsia="zh-CN"/>
        </w:rPr>
        <w:t>第四讲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孕产期甲状腺疾病的基层管理</w:t>
      </w:r>
      <w:r>
        <w:rPr>
          <w:rFonts w:ascii="Times New Roman" w:hAnsi="Times New Roman" w:cs="Times New Roman"/>
          <w:b/>
          <w:bCs/>
          <w:sz w:val="44"/>
          <w:szCs w:val="44"/>
        </w:rPr>
        <w:t>策略</w:t>
      </w:r>
    </w:p>
    <w:p w14:paraId="0CE2106F">
      <w:pPr>
        <w:spacing w:line="360" w:lineRule="auto"/>
        <w:ind w:firstLine="1920" w:firstLineChars="600"/>
        <w:jc w:val="left"/>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lang w:eastAsia="zh-CN"/>
        </w:rPr>
        <w:t>福建省妇幼保健院</w:t>
      </w:r>
      <w:r>
        <w:rPr>
          <w:rFonts w:hint="eastAsia" w:ascii="仿宋_GB2312" w:hAnsi="仿宋_GB2312" w:eastAsia="仿宋_GB2312" w:cs="仿宋_GB2312"/>
          <w:b w:val="0"/>
          <w:bCs w:val="0"/>
          <w:sz w:val="32"/>
          <w:szCs w:val="32"/>
          <w:lang w:val="en-US" w:eastAsia="zh-CN"/>
        </w:rPr>
        <w:t xml:space="preserve">  刘照贞</w:t>
      </w:r>
    </w:p>
    <w:p w14:paraId="49D61C38">
      <w:pPr>
        <w:spacing w:line="360" w:lineRule="auto"/>
        <w:jc w:val="center"/>
        <w:rPr>
          <w:rFonts w:hint="eastAsia" w:ascii="仿宋_GB2312" w:hAnsi="仿宋_GB2312" w:eastAsia="仿宋_GB2312" w:cs="仿宋_GB2312"/>
          <w:b/>
          <w:bCs/>
          <w:sz w:val="32"/>
          <w:szCs w:val="32"/>
        </w:rPr>
      </w:pPr>
    </w:p>
    <w:p w14:paraId="6CB59C78">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孕产期甲状腺疾病是影响母胎健康的重要问题，可能导致流产、早产、胎儿发育异常等不良妊娠结局。2022年发布的《孕产期甲状腺疾病防治管理指南》结合国内外最新研究进展，为临床医生提供了全面的诊疗和管理建议。本文旨在解读该指南的核心内容，并结合临床实践提供管理建议。</w:t>
      </w:r>
    </w:p>
    <w:p w14:paraId="313147D6">
      <w:pPr>
        <w:pStyle w:val="10"/>
        <w:numPr>
          <w:ilvl w:val="0"/>
          <w:numId w:val="1"/>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孕产期甲状腺疾病的流行病学特征</w:t>
      </w:r>
    </w:p>
    <w:p w14:paraId="6E93DFD7">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甲状腺疾病是孕产期妇女中较为常见的健康问题。我国非孕育龄妇女甲状腺功能异常的患病率为17.2%。由于孕期受到一些特有因素，如人绒毛膜促性腺激素（human chorionic gonadotropin, hCG）、甲状腺素结合球蛋白（thyroxine binding globulin, TBG）的影响，孕产期妇女甲状腺疾病的诊断标准需要参考特定的孕期TSH和甲状腺素（thyroxine, T4）的范围。因此，孕产期妇女甲状腺疾病的患病率与非孕育龄妇女有所不同。各地的研究报告显示，妊娠期甲状腺疾病的患病率差异较大，主要与诊断标准、孕期阶段、地域差异以及碘营养状况等因素相关。具体来说，孕期甲状腺功能减退症的患病率大约在0.3%~1.0%之间，亚临床甲减的患病率为4.0%~17.8%，甲状腺毒症约为1.0%，甲状腺过氧化物酶抗体（thyroid peroxidase antibody, TPOAb）或甲状腺球蛋白抗体（thyroglobulin antibody, TgAb）阳性的比例为2.0%~17.0%，甲状腺结节的患病率为3.0%~21.0%，而产后甲状腺炎的发生率则在1.1%~16.7%之间。</w:t>
      </w:r>
    </w:p>
    <w:p w14:paraId="3D5CB13C">
      <w:pPr>
        <w:pStyle w:val="10"/>
        <w:numPr>
          <w:ilvl w:val="0"/>
          <w:numId w:val="1"/>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孕产期甲状腺生理变化</w:t>
      </w:r>
    </w:p>
    <w:p w14:paraId="5CFC4C29">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妊娠期是女性生理变化最为显著的时期之一，甲状腺激素代谢也在这一阶段发生了重要的变化</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ADDIN ZOTERO_ITEM CSL_CITATION {"citationID":"eu2egrdh","properties":{"formattedCitation":"[2]","plainCitation":"[2]","noteIndex":0},"citationItems":[{"id":10,"uris":["http://zotero.org/users/local/gmG0ipdD/items/EBRZ6B92"],"itemData":{"id":10,"type":"article-journal","title":"Alexander EK , Pearce EN , Brent GA ,et al. 2017 Guidelines of the American Thyroid Association for the diagnosis and management of thyroid disease during pregnancy and the postpartum[J]. Thyroid, 2017，27(3):315-389."}}],"schema":"https://github.com/citation-style-language/schema/raw/master/csl-citation.json"}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，主要表现为以下几个方面：</w:t>
      </w:r>
    </w:p>
    <w:p w14:paraId="624F4AB9">
      <w:pPr>
        <w:pStyle w:val="4"/>
        <w:widowControl/>
        <w:numPr>
          <w:ilvl w:val="0"/>
          <w:numId w:val="2"/>
        </w:numPr>
        <w:spacing w:beforeAutospacing="0" w:afterAutospacing="0" w:line="360" w:lineRule="auto"/>
        <w:jc w:val="both"/>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TBG增加</w:t>
      </w:r>
    </w:p>
    <w:p w14:paraId="495CF9C9">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妊娠期间，随着雌激素水平的升高，肝脏合成的TBG增加。TBG是血浆中与甲状腺激素结合的主要蛋白，增加的TBG水平使得总T3和T4水平升高。尽管总甲状腺激素水平增加，但由于游离甲状腺激素（FT3和FT4）浓度变化较小，妊娠期女性的甲状腺功能通常保持在正常范围内。这一变化主要是为了确保胎儿及胎盘的甲状腺激素供应充足，支持胎儿的正常发育，特别是神经系统的发育。因此，尽管总T3和T4水平升高，实际的甲状腺激素活性变化较为有限，甲状腺功能通常不会受到影响。</w:t>
      </w:r>
    </w:p>
    <w:p w14:paraId="386325DE">
      <w:pPr>
        <w:pStyle w:val="4"/>
        <w:widowControl/>
        <w:numPr>
          <w:ilvl w:val="0"/>
          <w:numId w:val="2"/>
        </w:numPr>
        <w:spacing w:beforeAutospacing="0" w:afterAutospacing="0"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rPr>
        <w:t>hCG的甲状腺刺激作用</w:t>
      </w:r>
    </w:p>
    <w:p w14:paraId="767B0CD3">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人绒毛膜促性腺激素（Human choionic gonadotophin, hCG）是妊娠初期由胎盘分泌的激素，其水平在妊娠早期急剧升高。hCG不仅促进黄体维持妊娠，还可能对甲状腺产生一定的刺激作用。hCG与甲状腺刺激激素（thyroid-stimulating hormone, TSH）受体具有一定的交叉反应，能够直接刺激甲状腺，导致甲状腺激素的分泌增加。因此，在妊娠初期，尤其是妊娠的前12周，部分孕妇可能会出现TSH水平的轻度降低，通常不伴有明显的甲状腺功能亢进症状。这一现象被称为妊娠性甲亢，通常是暂时性的，一般在妊娠中期hCG水平回落后，TSH水平恢复正常。</w:t>
      </w:r>
    </w:p>
    <w:p w14:paraId="4CD70996">
      <w:pPr>
        <w:pStyle w:val="4"/>
        <w:widowControl/>
        <w:numPr>
          <w:ilvl w:val="0"/>
          <w:numId w:val="2"/>
        </w:numPr>
        <w:spacing w:beforeAutospacing="0" w:afterAutospacing="0"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rPr>
        <w:t>碘需求增加</w:t>
      </w:r>
    </w:p>
    <w:p w14:paraId="463EB731">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妊娠期间，母体和胎儿对甲状腺激素的需求增加，导致碘的需求量相应增加。碘是合成甲状腺激素的必需元素，妊娠期碘需求量增加约50%，尤其是在胎儿的神经系统和甲状腺发育过程中，碘的供应至关重要。若母体碘摄入不足，可能导致甲状腺功能异常，甚至引起孕妇和胎儿的碘缺乏症，表现为甲状腺肿大（地方性甲状腺肿）或甲减，影响胎儿的神经发育和智力发育。此外，碘缺乏还可能增加妊娠并发症的风险，如子痫前期和胎儿生长受限等。因此，在妊娠期，合理的碘补充尤为重要。根据世界卫生组织的建议，孕妇的每日碘摄入量应为250µg，保证充足的碘摄入，有助于预防甲状腺疾病，确保母婴健康。</w:t>
      </w:r>
    </w:p>
    <w:p w14:paraId="022C532B">
      <w:pPr>
        <w:pStyle w:val="10"/>
        <w:numPr>
          <w:ilvl w:val="0"/>
          <w:numId w:val="1"/>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孕产期常见甲状腺疾病</w:t>
      </w:r>
    </w:p>
    <w:p w14:paraId="59299CE6">
      <w:pPr>
        <w:pStyle w:val="10"/>
        <w:numPr>
          <w:ilvl w:val="0"/>
          <w:numId w:val="3"/>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甲亢</w:t>
      </w:r>
    </w:p>
    <w:p w14:paraId="3E2AD908">
      <w:pPr>
        <w:pStyle w:val="10"/>
        <w:numPr>
          <w:ilvl w:val="0"/>
          <w:numId w:val="4"/>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定义和诊断标准</w:t>
      </w:r>
    </w:p>
    <w:p w14:paraId="194B8A1E">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甲亢指因各种原因导致甲状腺合成分泌的甲状腺激素过多，机体出现一系列高代谢症候群和交感神经兴奋的临床表现。其孕产期诊断标准为TSH&lt;参考范围下限（或妊娠早期&lt;0.1 mU/L），FT4或FT3&gt;参考范围上限。</w:t>
      </w:r>
    </w:p>
    <w:p w14:paraId="7DD30EAF">
      <w:pPr>
        <w:pStyle w:val="10"/>
        <w:numPr>
          <w:ilvl w:val="0"/>
          <w:numId w:val="4"/>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对母胎和后代的影响</w:t>
      </w:r>
    </w:p>
    <w:p w14:paraId="7F480EC1">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孕产期若甲状腺功能亢进未得到良好控制，可能与妊娠期高血压、流产、早产、低出生体重儿、宫内生长受限、死产等不良妊娠结局相关，并可能引发甲状腺危象及充血性心力衰竭。此外，母体甲亢还可能影响胎儿神经发育，导致儿童智力下降、大脑皮层灰质体积减少，并增加后代远期罹患癫痫和神经行为异常的风险。母体升高的T4可透过胎盘进入胎儿体内，抑制胎儿垂体TSH分泌，进而引发胎儿甲亢或新生儿一过性中枢性甲状腺功能减退。</w:t>
      </w:r>
    </w:p>
    <w:p w14:paraId="6C1F6DCD">
      <w:pPr>
        <w:pStyle w:val="10"/>
        <w:numPr>
          <w:ilvl w:val="0"/>
          <w:numId w:val="4"/>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治疗与监测原则</w:t>
      </w:r>
    </w:p>
    <w:p w14:paraId="5F800BE8">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已确诊甲亢的患者一旦确认怀孕，应尽快进行临床评估，并立即复查甲状腺功能及促甲状腺素受体抗体（TRAb）水平。若FT4水平正常或接近正常，可考虑停药。若甲亢需要治疗，首选丙硫氧嘧啶（PTU），他巴唑（MMI）作为二线用药，并应告知患者抗甲状腺药物（ATDs）可能导致胎儿畸形的风险。在妊娠中晚期，如需继续使用ATDs，可选择PTU或MMI。对于符合手术指征的患者，可考虑在妊娠中期进行手术治疗。</w:t>
      </w:r>
    </w:p>
    <w:p w14:paraId="4E55A882">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状腺功能监测的首选指标为血清游离甲状腺素（FT4）或总甲状腺素（TT4）。在妊娠早期应每1~2周、妊娠中晚期每2~4周检测一次，以指导ATDs剂量的调整。治疗目标是在应用最小有效剂量ATDs的情况下，将FT4维持在正常范围的上限或略高于上限。</w:t>
      </w:r>
    </w:p>
    <w:p w14:paraId="11D5EC62">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果妊娠早期血清TRAb阴性，则孕期和产后无需再次检测。若妊娠早期TRAb水平升高，则应分别在妊娠18~22周及妊娠晚期监测其变化。对于妊娠中晚期TRAb水平超过参考范围上限3倍的孕妇，应密切监测胎儿心率，并通过超声检查评估胎儿甲状腺体积及生长发育情况。此外，产后需严密监测新生儿甲状腺功能，以便及早发现并管理胎儿及新生儿甲亢或甲减。</w:t>
      </w:r>
    </w:p>
    <w:p w14:paraId="7908D212">
      <w:pPr>
        <w:pStyle w:val="10"/>
        <w:numPr>
          <w:ilvl w:val="0"/>
          <w:numId w:val="3"/>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甲减和亚临床甲减</w:t>
      </w:r>
    </w:p>
    <w:p w14:paraId="59047BCD">
      <w:pPr>
        <w:pStyle w:val="10"/>
        <w:numPr>
          <w:ilvl w:val="0"/>
          <w:numId w:val="5"/>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定义和诊断标准</w:t>
      </w:r>
    </w:p>
    <w:p w14:paraId="3FD1EEF5">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临床甲减是由多种原因引起的甲状腺激素合成、分泌或生物效应不足所致的一组临床综合征。其诊断标准为TSH&gt;参考范围上限（或妊娠早期4.0 mU/L），且FT4&lt;参考范围下限。而亚临床甲减与之相区别则在于TSH&gt;参考范围上限（或妊娠早期4.0 mU/L），但FT4尚在正常范围。</w:t>
      </w:r>
    </w:p>
    <w:p w14:paraId="167AC908">
      <w:pPr>
        <w:pStyle w:val="10"/>
        <w:numPr>
          <w:ilvl w:val="0"/>
          <w:numId w:val="5"/>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对母胎和后代的影响</w:t>
      </w:r>
    </w:p>
    <w:p w14:paraId="52155730">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减可增加育龄女性的不孕不育风险。在孕产期，若甲减未得到有效治疗，会提高妊娠期高血压疾病、流产、早产、低出生体重儿甚至死胎的发生风险，同时可能影响后代的神经智力发育。即使是孕产期亚临床甲减，也可能增加妊娠不良结局的风险。在孕早期，随着TSH水平的升高，流产风险逐渐增加，此时若甲状腺过氧化物酶抗体（TPOAb）或甲状腺球蛋白抗体（TgAb）呈阳性，流产的风险则会进一步上升。此外，孕产期亚临床甲减也可能对后代的智力及运动发育产生不利影响。若在妊娠早期，尤其是妊娠8周前，对亚临床甲减进行有效治疗，有助于降低流产风险，并改善后代的智力发育。然而，针对妊娠中晚期的亚临床甲减患者， LT4治疗是否能够改善后代的认知功能，目前仍存在争议。</w:t>
      </w:r>
    </w:p>
    <w:p w14:paraId="2FAD7BB2">
      <w:pPr>
        <w:pStyle w:val="10"/>
        <w:numPr>
          <w:ilvl w:val="0"/>
          <w:numId w:val="5"/>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治疗与监测原则</w:t>
      </w:r>
    </w:p>
    <w:p w14:paraId="05F60857">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已确诊的甲减患者在确认妊娠后，应在LT4剂量的基础上每日增加20%~30%，并尽快就诊进行临床评估，同时立即复查甲状腺功能及相关抗体。LT4剂量的计算方式为每日每公斤体重2.0~2.4 μg，可足量起始或根据患者耐受情况逐步增加剂量，以尽快达标。妊娠期间，应将TSH控制在参考范围下限（或0.1 mU/L）至2.5 mU/L，并根据控制目标调整LT4剂量。服药时建议晨起空腹一次性服用，并与豆制品、牛奶、钙剂、铁剂及高纤维食物等间隔2~4 h，以免影响药物吸收。在妊娠1~20周，每2~4周监测一次甲状腺功能，待血清TSH水平稳定后，可延长至每4~6周检测一次。</w:t>
      </w:r>
    </w:p>
    <w:p w14:paraId="204887D7">
      <w:pPr>
        <w:pStyle w:val="4"/>
        <w:widowControl/>
        <w:spacing w:beforeAutospacing="0" w:afterAutospacing="0"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对于亚临床甲减，治疗方案、妊娠前及妊娠期的控制目标、监测频率均与甲减一致。妊娠期亚临床甲减的具体治疗方案可根据血清TSH水平及TPOAb的阳性情况进行个体化选择（详见表1）。</w:t>
      </w:r>
    </w:p>
    <w:p w14:paraId="190AFD90">
      <w:pPr>
        <w:pStyle w:val="4"/>
        <w:widowControl/>
        <w:spacing w:beforeAutospacing="0" w:afterAutospacing="0"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 妊娠期亚临床甲减的分层治疗</w:t>
      </w:r>
    </w:p>
    <w:tbl>
      <w:tblPr>
        <w:tblStyle w:val="6"/>
        <w:tblW w:w="0" w:type="auto"/>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79"/>
        <w:gridCol w:w="1016"/>
        <w:gridCol w:w="2153"/>
        <w:gridCol w:w="2174"/>
      </w:tblGrid>
      <w:tr w14:paraId="5BDD97B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185" w:type="dxa"/>
            <w:tcBorders>
              <w:top w:val="single" w:color="auto" w:sz="4" w:space="0"/>
              <w:bottom w:val="single" w:color="auto" w:sz="4" w:space="0"/>
            </w:tcBorders>
          </w:tcPr>
          <w:p w14:paraId="49D70B96">
            <w:pPr>
              <w:pStyle w:val="4"/>
              <w:widowControl/>
              <w:spacing w:beforeAutospacing="0" w:afterAutospacing="0"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TSH（mU/L）</w:t>
            </w:r>
          </w:p>
        </w:tc>
        <w:tc>
          <w:tcPr>
            <w:tcW w:w="1003" w:type="dxa"/>
            <w:tcBorders>
              <w:top w:val="single" w:color="auto" w:sz="4" w:space="0"/>
              <w:bottom w:val="single" w:color="auto" w:sz="4" w:space="0"/>
            </w:tcBorders>
          </w:tcPr>
          <w:p w14:paraId="59E4549B">
            <w:pPr>
              <w:pStyle w:val="4"/>
              <w:widowControl/>
              <w:spacing w:beforeAutospacing="0" w:afterAutospacing="0"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TPOAb</w:t>
            </w:r>
          </w:p>
        </w:tc>
        <w:tc>
          <w:tcPr>
            <w:tcW w:w="2157" w:type="dxa"/>
            <w:tcBorders>
              <w:top w:val="single" w:color="auto" w:sz="4" w:space="0"/>
              <w:bottom w:val="single" w:color="auto" w:sz="4" w:space="0"/>
            </w:tcBorders>
          </w:tcPr>
          <w:p w14:paraId="278E935B">
            <w:pPr>
              <w:pStyle w:val="4"/>
              <w:widowControl/>
              <w:spacing w:beforeAutospacing="0" w:afterAutospacing="0"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是否治疗</w:t>
            </w:r>
          </w:p>
        </w:tc>
        <w:tc>
          <w:tcPr>
            <w:tcW w:w="2177" w:type="dxa"/>
            <w:tcBorders>
              <w:top w:val="single" w:color="auto" w:sz="4" w:space="0"/>
              <w:bottom w:val="single" w:color="auto" w:sz="4" w:space="0"/>
            </w:tcBorders>
          </w:tcPr>
          <w:p w14:paraId="23B7C3C1">
            <w:pPr>
              <w:pStyle w:val="4"/>
              <w:widowControl/>
              <w:spacing w:beforeAutospacing="0" w:afterAutospacing="0"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LT4起始剂量（μg）</w:t>
            </w:r>
          </w:p>
        </w:tc>
      </w:tr>
      <w:tr w14:paraId="7EAB277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185" w:type="dxa"/>
            <w:tcBorders>
              <w:top w:val="single" w:color="auto" w:sz="4" w:space="0"/>
            </w:tcBorders>
          </w:tcPr>
          <w:p w14:paraId="5F11D75D">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&gt;妊娠参考值上限(或4.0)</w:t>
            </w:r>
          </w:p>
        </w:tc>
        <w:tc>
          <w:tcPr>
            <w:tcW w:w="1003" w:type="dxa"/>
            <w:tcBorders>
              <w:top w:val="single" w:color="auto" w:sz="4" w:space="0"/>
            </w:tcBorders>
          </w:tcPr>
          <w:p w14:paraId="4A7FF81B">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2157" w:type="dxa"/>
            <w:tcBorders>
              <w:top w:val="single" w:color="auto" w:sz="4" w:space="0"/>
            </w:tcBorders>
          </w:tcPr>
          <w:p w14:paraId="2A5DFE2C">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治疗</w:t>
            </w:r>
          </w:p>
        </w:tc>
        <w:tc>
          <w:tcPr>
            <w:tcW w:w="2177" w:type="dxa"/>
            <w:tcBorders>
              <w:top w:val="single" w:color="auto" w:sz="4" w:space="0"/>
            </w:tcBorders>
          </w:tcPr>
          <w:p w14:paraId="72ECBA12">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50~100</w:t>
            </w:r>
          </w:p>
        </w:tc>
      </w:tr>
      <w:tr w14:paraId="4EA640B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185" w:type="dxa"/>
          </w:tcPr>
          <w:p w14:paraId="07151144">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2.5~妊娠参考值上限(或4.0)</w:t>
            </w:r>
          </w:p>
        </w:tc>
        <w:tc>
          <w:tcPr>
            <w:tcW w:w="1003" w:type="dxa"/>
          </w:tcPr>
          <w:p w14:paraId="4E4410E1">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2157" w:type="dxa"/>
          </w:tcPr>
          <w:p w14:paraId="244863E7">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治疗</w:t>
            </w:r>
          </w:p>
        </w:tc>
        <w:tc>
          <w:tcPr>
            <w:tcW w:w="2177" w:type="dxa"/>
          </w:tcPr>
          <w:p w14:paraId="082D586F">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25~50</w:t>
            </w:r>
          </w:p>
        </w:tc>
      </w:tr>
      <w:tr w14:paraId="3EE2CB2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185" w:type="dxa"/>
          </w:tcPr>
          <w:p w14:paraId="5B0C79C6">
            <w:pPr>
              <w:pStyle w:val="4"/>
              <w:widowControl/>
              <w:spacing w:beforeAutospacing="0" w:afterAutospacing="0" w:line="360" w:lineRule="auto"/>
              <w:rPr>
                <w:rFonts w:hint="eastAsia" w:ascii="仿宋_GB2312" w:hAnsi="仿宋_GB2312" w:eastAsia="仿宋_GB2312" w:cs="仿宋_GB2312"/>
                <w:sz w:val="32"/>
                <w:szCs w:val="32"/>
              </w:rPr>
            </w:pPr>
          </w:p>
        </w:tc>
        <w:tc>
          <w:tcPr>
            <w:tcW w:w="1003" w:type="dxa"/>
          </w:tcPr>
          <w:p w14:paraId="08A898F8">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2157" w:type="dxa"/>
          </w:tcPr>
          <w:p w14:paraId="4701151F">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不治疗，要监测</w:t>
            </w:r>
          </w:p>
        </w:tc>
        <w:tc>
          <w:tcPr>
            <w:tcW w:w="2177" w:type="dxa"/>
          </w:tcPr>
          <w:p w14:paraId="0F94147D">
            <w:pPr>
              <w:pStyle w:val="4"/>
              <w:widowControl/>
              <w:spacing w:beforeAutospacing="0" w:afterAutospacing="0" w:line="360" w:lineRule="auto"/>
              <w:rPr>
                <w:rFonts w:hint="eastAsia" w:ascii="仿宋_GB2312" w:hAnsi="仿宋_GB2312" w:eastAsia="仿宋_GB2312" w:cs="仿宋_GB2312"/>
                <w:sz w:val="32"/>
                <w:szCs w:val="32"/>
              </w:rPr>
            </w:pPr>
          </w:p>
        </w:tc>
      </w:tr>
      <w:tr w14:paraId="6B50F2E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185" w:type="dxa"/>
          </w:tcPr>
          <w:p w14:paraId="1D98D63D">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妊娠参考值下限(或0.1)~2.5</w:t>
            </w:r>
          </w:p>
        </w:tc>
        <w:tc>
          <w:tcPr>
            <w:tcW w:w="1003" w:type="dxa"/>
          </w:tcPr>
          <w:p w14:paraId="0B5F9CAF">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2157" w:type="dxa"/>
          </w:tcPr>
          <w:p w14:paraId="6E0A93BA">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不治疗，要监测</w:t>
            </w:r>
          </w:p>
        </w:tc>
        <w:tc>
          <w:tcPr>
            <w:tcW w:w="2177" w:type="dxa"/>
          </w:tcPr>
          <w:p w14:paraId="26D24294">
            <w:pPr>
              <w:pStyle w:val="4"/>
              <w:widowControl/>
              <w:spacing w:beforeAutospacing="0" w:afterAutospacing="0" w:line="360" w:lineRule="auto"/>
              <w:rPr>
                <w:rFonts w:hint="eastAsia" w:ascii="仿宋_GB2312" w:hAnsi="仿宋_GB2312" w:eastAsia="仿宋_GB2312" w:cs="仿宋_GB2312"/>
                <w:sz w:val="32"/>
                <w:szCs w:val="32"/>
              </w:rPr>
            </w:pPr>
          </w:p>
        </w:tc>
      </w:tr>
      <w:tr w14:paraId="38970BD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185" w:type="dxa"/>
          </w:tcPr>
          <w:p w14:paraId="1B840255">
            <w:pPr>
              <w:pStyle w:val="4"/>
              <w:widowControl/>
              <w:spacing w:beforeAutospacing="0" w:afterAutospacing="0" w:line="360" w:lineRule="auto"/>
              <w:rPr>
                <w:rFonts w:hint="eastAsia" w:ascii="仿宋_GB2312" w:hAnsi="仿宋_GB2312" w:eastAsia="仿宋_GB2312" w:cs="仿宋_GB2312"/>
                <w:sz w:val="32"/>
                <w:szCs w:val="32"/>
              </w:rPr>
            </w:pPr>
          </w:p>
        </w:tc>
        <w:tc>
          <w:tcPr>
            <w:tcW w:w="1003" w:type="dxa"/>
          </w:tcPr>
          <w:p w14:paraId="325A2C01">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2157" w:type="dxa"/>
          </w:tcPr>
          <w:p w14:paraId="4856F3E3">
            <w:pPr>
              <w:pStyle w:val="4"/>
              <w:widowControl/>
              <w:spacing w:beforeAutospacing="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不治疗，要监测</w:t>
            </w:r>
          </w:p>
        </w:tc>
        <w:tc>
          <w:tcPr>
            <w:tcW w:w="2177" w:type="dxa"/>
          </w:tcPr>
          <w:p w14:paraId="4AD716EB">
            <w:pPr>
              <w:pStyle w:val="4"/>
              <w:widowControl/>
              <w:spacing w:beforeAutospacing="0" w:afterAutospacing="0" w:line="360" w:lineRule="auto"/>
              <w:rPr>
                <w:rFonts w:hint="eastAsia" w:ascii="仿宋_GB2312" w:hAnsi="仿宋_GB2312" w:eastAsia="仿宋_GB2312" w:cs="仿宋_GB2312"/>
                <w:sz w:val="32"/>
                <w:szCs w:val="32"/>
              </w:rPr>
            </w:pPr>
          </w:p>
        </w:tc>
      </w:tr>
    </w:tbl>
    <w:p w14:paraId="1ACFE3DC">
      <w:pPr>
        <w:pStyle w:val="4"/>
        <w:widowControl/>
        <w:spacing w:beforeAutospacing="0" w:afterAutospacing="0" w:line="360" w:lineRule="auto"/>
        <w:jc w:val="both"/>
        <w:rPr>
          <w:rFonts w:hint="eastAsia" w:ascii="仿宋_GB2312" w:hAnsi="仿宋_GB2312" w:eastAsia="仿宋_GB2312" w:cs="仿宋_GB2312"/>
          <w:sz w:val="32"/>
          <w:szCs w:val="32"/>
        </w:rPr>
      </w:pPr>
    </w:p>
    <w:p w14:paraId="5146ADBF">
      <w:pPr>
        <w:pStyle w:val="10"/>
        <w:numPr>
          <w:ilvl w:val="0"/>
          <w:numId w:val="3"/>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甲状腺结节</w:t>
      </w:r>
    </w:p>
    <w:p w14:paraId="5B0F3F6A">
      <w:pPr>
        <w:pStyle w:val="10"/>
        <w:numPr>
          <w:ilvl w:val="0"/>
          <w:numId w:val="6"/>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诊断与评估</w:t>
      </w:r>
    </w:p>
    <w:p w14:paraId="5CE625C8">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孕产期甲状腺结节是妊娠期间较为常见的发现，尽管大多数结节为良性，但仍需通过合适的影像学检查和必要时的细针穿刺活检（FNA）来评估结节的良、恶性质，以便制定相应的管理计划。</w:t>
      </w:r>
    </w:p>
    <w:p w14:paraId="0596AF2C">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妊娠期甲状腺结节超声检查</w:t>
      </w:r>
    </w:p>
    <w:p w14:paraId="543B8063">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超声检查是评估甲状腺结节最常用且安全的影像学方法，尤其适用于妊娠期患者，其能够提供结节的详细信息包括如下几个方面。</w:t>
      </w:r>
    </w:p>
    <w:p w14:paraId="4F2DEFD1">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结节的大小：直径大于1cm的结节需特别关注，尤其是当结节在超声下呈现可疑的恶性特征时。较大的结节往往提示恶性肿瘤的可能性较高。</w:t>
      </w:r>
    </w:p>
    <w:p w14:paraId="12A02839">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形态和边缘：结节的形态和边缘对评估其恶性可能有重要意义。恶性结节通常形态不规则，边缘模糊或不清，而良性结节多呈现均匀的圆形或椭圆形，边缘光滑。</w:t>
      </w:r>
    </w:p>
    <w:p w14:paraId="1017BAE7">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回声特征：良性结节常见为均匀的低回声或等回声，而恶性结节则可能表现为高回声或混合回声，这些特征可能提示结节内存在钙化或血管化。</w:t>
      </w:r>
    </w:p>
    <w:p w14:paraId="18B3AF6F">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血流情况：通过彩色多普勒超声可以评估结节的血流情况。恶性结节通常表现为较为丰富的血流信号，而良性结节则血流较少。</w:t>
      </w:r>
    </w:p>
    <w:p w14:paraId="758BCB31">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细针穿刺活检（FNA）</w:t>
      </w:r>
    </w:p>
    <w:p w14:paraId="10C7571F">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细针穿刺活检（FNA）是对可疑甲状腺结节进行病理学评估的重要方法，适用于超声表现为可疑恶性或具有高风险特征的结节。</w:t>
      </w:r>
    </w:p>
    <w:p w14:paraId="29EC7A56">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适应症：当甲状腺结节超声检查表现为形态不规则、边缘不清、存在钙化、回声不均匀或血流丰富等可疑恶性特征时，FNA是进一步诊断的关键手段。特别是直径超过1cm的结节，如果伴有上述高风险特征，应尽早进行FNA以排除恶性病变。</w:t>
      </w:r>
    </w:p>
    <w:p w14:paraId="1D3917B2">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操作过程：FNA操作简单，通常在超声引导下进行，以确保针头精准穿刺到结节中心。该方法具有创伤小、恢复快、操作简便的优点。</w:t>
      </w:r>
    </w:p>
    <w:p w14:paraId="02E0A433">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果解读：FNA检查的结果可以帮助判断结节的性质。对于良性结节，通常无需进一步处理；对于恶性结节，则需要进一步治疗，如手术切除。部分结节可能呈现不典型或可疑结果，此时可能需要通过再次穿刺或其他影像学检查进一步明确诊断。</w:t>
      </w:r>
    </w:p>
    <w:p w14:paraId="36BCEA05">
      <w:pPr>
        <w:pStyle w:val="10"/>
        <w:numPr>
          <w:ilvl w:val="0"/>
          <w:numId w:val="6"/>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治疗与随访</w:t>
      </w:r>
    </w:p>
    <w:p w14:paraId="72DDBD0B">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良性结节：定期随访，无需特殊治疗。</w:t>
      </w:r>
    </w:p>
    <w:p w14:paraId="6B406CAD">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恶性结节：建议在妊娠中期进行手术治疗。</w:t>
      </w:r>
    </w:p>
    <w:p w14:paraId="7EBDB022">
      <w:pPr>
        <w:pStyle w:val="10"/>
        <w:numPr>
          <w:ilvl w:val="0"/>
          <w:numId w:val="1"/>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孕产期甲状腺疾病的筛查策略</w:t>
      </w:r>
    </w:p>
    <w:p w14:paraId="50145ECB">
      <w:pPr>
        <w:pStyle w:val="10"/>
        <w:numPr>
          <w:ilvl w:val="0"/>
          <w:numId w:val="7"/>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高危人群筛查</w:t>
      </w:r>
    </w:p>
    <w:p w14:paraId="2274A0E3">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对于一些已知的高危人群，筛查甲状腺疾病是至关重要的。这些高危人群包括但不限于以下几类：</w:t>
      </w:r>
    </w:p>
    <w:p w14:paraId="7F417371">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有甲状腺疾病史的孕妇：</w:t>
      </w:r>
      <w:r>
        <w:rPr>
          <w:rFonts w:hint="eastAsia" w:ascii="仿宋_GB2312" w:hAnsi="仿宋_GB2312" w:eastAsia="仿宋_GB2312" w:cs="仿宋_GB2312"/>
          <w:sz w:val="32"/>
          <w:szCs w:val="32"/>
        </w:rPr>
        <w:t>既往患有甲状腺功能亢进、甲状腺功能减退、桥本甲状腺炎等甲状腺疾病的孕妇，在妊娠期间可能会出现病情加重或变化，因此需要定期进行甲状腺功能监测。特别是已经接受过甲状腺治疗或手术的女性，甲状腺功能的变化可能会影响妊娠结局，早期筛查可以帮助及时调整治疗方案。</w:t>
      </w:r>
    </w:p>
    <w:p w14:paraId="146C3D93">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有家族史的孕妇：</w:t>
      </w:r>
      <w:r>
        <w:rPr>
          <w:rFonts w:hint="eastAsia" w:ascii="仿宋_GB2312" w:hAnsi="仿宋_GB2312" w:eastAsia="仿宋_GB2312" w:cs="仿宋_GB2312"/>
          <w:sz w:val="32"/>
          <w:szCs w:val="32"/>
        </w:rPr>
        <w:t>甲状腺疾病，尤其是自身免疫性甲状腺炎（如桥本甲状腺炎或Graves病）具有一定的遗传倾向。因此，具备家族史的孕妇应当被列入高危筛查人群，并进行甲状腺功能的定期检测。</w:t>
      </w:r>
    </w:p>
    <w:p w14:paraId="52DA8FDA">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自身免疫性疾病患者：</w:t>
      </w:r>
      <w:r>
        <w:rPr>
          <w:rFonts w:hint="eastAsia" w:ascii="仿宋_GB2312" w:hAnsi="仿宋_GB2312" w:eastAsia="仿宋_GB2312" w:cs="仿宋_GB2312"/>
          <w:sz w:val="32"/>
          <w:szCs w:val="32"/>
        </w:rPr>
        <w:t>患有其他自身免疫性疾病（如1型糖尿病、类风湿性关节炎、系统性红斑狼疮等）的孕妇，可能存在较高的患甲状腺自身免疫性疾病的风险。这类孕妇的免疫系统处于异常激活状态，容易导致甲状腺功能的异常。因此，这类高危人群在孕期应定期进行甲状腺功能检查，及时发现潜在的甲状腺疾病。</w:t>
      </w:r>
    </w:p>
    <w:p w14:paraId="0D16D2B1">
      <w:pPr>
        <w:pStyle w:val="10"/>
        <w:numPr>
          <w:ilvl w:val="0"/>
          <w:numId w:val="7"/>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普遍筛查</w:t>
      </w:r>
    </w:p>
    <w:p w14:paraId="734F5968">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除了针对高危人群进行筛查外，普遍筛查也是孕期甲状腺疾病管理的重要组成部分。建议对所有孕妇进行TSH筛查，这是最常见且经济的甲状腺功能初筛方法。</w:t>
      </w:r>
    </w:p>
    <w:p w14:paraId="03A92B39">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筛查时机：</w:t>
      </w:r>
      <w:r>
        <w:rPr>
          <w:rFonts w:hint="eastAsia" w:ascii="仿宋_GB2312" w:hAnsi="仿宋_GB2312" w:eastAsia="仿宋_GB2312" w:cs="仿宋_GB2312"/>
          <w:sz w:val="32"/>
          <w:szCs w:val="32"/>
        </w:rPr>
        <w:t>建议在孕早期（尤其是孕6~12周）进行第一次TSH筛查，这是因为甲状腺功能异常通常在妊娠早期表现得更为明显。对于一些TSH水平异常的孕妇，进一步的甲状腺激素检测（如T3、T4）和抗体检查可以帮助明确诊断。</w:t>
      </w:r>
    </w:p>
    <w:p w14:paraId="36F58842">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筛查频率：</w:t>
      </w:r>
      <w:r>
        <w:rPr>
          <w:rFonts w:hint="eastAsia" w:ascii="仿宋_GB2312" w:hAnsi="仿宋_GB2312" w:eastAsia="仿宋_GB2312" w:cs="仿宋_GB2312"/>
          <w:sz w:val="32"/>
          <w:szCs w:val="32"/>
        </w:rPr>
        <w:t>对于高风险孕妇，建议在整个孕期内定期进行甲状腺功能的监测。对于低风险孕妇，通常可以在孕早期进行一次筛查，若无异常，可以考虑在孕中期（20~24周）进行复查，尤其是当出现甲状腺疾病的临床症状或风险因素变化时。</w:t>
      </w:r>
    </w:p>
    <w:p w14:paraId="4908A2EC">
      <w:pPr>
        <w:pStyle w:val="10"/>
        <w:numPr>
          <w:ilvl w:val="0"/>
          <w:numId w:val="1"/>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孕产期甲状腺疾病的管理实践</w:t>
      </w:r>
    </w:p>
    <w:p w14:paraId="39CED7A7">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孕产期甲状腺疾病的管理需要综合多学科协作，并结合个体化治疗方案，以确保孕妇和胎儿的健康。这种跨学科的管理模式能够从多个角度提供专业的支持，同时有效提高治疗效果和患者的依从性。</w:t>
      </w:r>
    </w:p>
    <w:p w14:paraId="45B7A7A8">
      <w:pPr>
        <w:pStyle w:val="10"/>
        <w:numPr>
          <w:ilvl w:val="0"/>
          <w:numId w:val="8"/>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多学科协作</w:t>
      </w:r>
    </w:p>
    <w:p w14:paraId="2D44E8E8">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妇产科医生：</w:t>
      </w:r>
      <w:r>
        <w:rPr>
          <w:rFonts w:hint="eastAsia" w:ascii="仿宋_GB2312" w:hAnsi="仿宋_GB2312" w:eastAsia="仿宋_GB2312" w:cs="仿宋_GB2312"/>
          <w:sz w:val="32"/>
          <w:szCs w:val="32"/>
        </w:rPr>
        <w:t>作为主要的孕期医疗提供者，妇产科医生在孕期甲状腺疾病的筛查、诊断和治疗过程中起着核心作用。妇产科医生首先负责识别可能的甲状腺功能异常，进行必要的甲状腺功能测试，并与内分泌科进行沟通，决定是否需要进行进一步治疗。妇产科医生还需关注孕妇的整体妊娠情况，评估甲状腺疾病对母体和胎儿的影响，并根据需要进行管理。</w:t>
      </w:r>
    </w:p>
    <w:p w14:paraId="427A4C25">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内分泌科医生：</w:t>
      </w:r>
      <w:r>
        <w:rPr>
          <w:rFonts w:hint="eastAsia" w:ascii="仿宋_GB2312" w:hAnsi="仿宋_GB2312" w:eastAsia="仿宋_GB2312" w:cs="仿宋_GB2312"/>
          <w:sz w:val="32"/>
          <w:szCs w:val="32"/>
        </w:rPr>
        <w:t>内分泌科医生专门负责诊断和治疗甲状腺疾病，特别是在甲状腺功能异常较为复杂的病例中，内分泌科的专业知识至关重要。内分泌科医生可以根据孕妇的甲状腺激素水平，制定个体化的治疗方案，并对治疗过程进行监控，确保甲状腺功能得到有效调控。对于需要长期甲状腺激素替代治疗的孕妇，内分泌科医生还需要根据孕期的特殊生理变化调整药物剂量。</w:t>
      </w:r>
    </w:p>
    <w:p w14:paraId="1E6B88A4">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儿科医生：</w:t>
      </w:r>
      <w:r>
        <w:rPr>
          <w:rFonts w:hint="eastAsia" w:ascii="仿宋_GB2312" w:hAnsi="仿宋_GB2312" w:eastAsia="仿宋_GB2312" w:cs="仿宋_GB2312"/>
          <w:sz w:val="32"/>
          <w:szCs w:val="32"/>
        </w:rPr>
        <w:t>孕产期甲状腺疾病可能对胎儿产生不良影响，尤其是甲状腺功能减退时，胎儿可能面临生长迟缓、低出生体重等风险。儿科医生在监测新生儿健康方面具有重要作用，特别是对于早产儿或出生时可能存在甲状腺功能问题的婴儿，儿科医生需要及时评估和治疗，确保其健康发展。新生儿甲状腺功能的筛查和监测对于早期发现并干预甲状腺疾病至关重要。</w:t>
      </w:r>
    </w:p>
    <w:p w14:paraId="7F9CEC17">
      <w:pPr>
        <w:pStyle w:val="10"/>
        <w:numPr>
          <w:ilvl w:val="0"/>
          <w:numId w:val="8"/>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患者教育</w:t>
      </w:r>
    </w:p>
    <w:p w14:paraId="375F1D5E">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患者教育在孕产期甲状腺疾病管理中起着至关重要的作用，能够帮助孕妇了解甲状腺疾病的相关知识、症状、治疗方案和可能的并发症，从而提高其治疗依从性。</w:t>
      </w:r>
    </w:p>
    <w:p w14:paraId="0E76A250">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提高孕妇对甲状腺疾病的认识：</w:t>
      </w:r>
      <w:r>
        <w:rPr>
          <w:rFonts w:hint="eastAsia" w:ascii="仿宋_GB2312" w:hAnsi="仿宋_GB2312" w:eastAsia="仿宋_GB2312" w:cs="仿宋_GB2312"/>
          <w:sz w:val="32"/>
          <w:szCs w:val="32"/>
        </w:rPr>
        <w:t>很多孕妇可能不了解甲状腺疾病的症状和影响，尤其是甲状腺功能异常的初期症状可能与妊娠相关的生理变化相似，如乏力、体重变化、情绪波动等。因此，教育孕妇了解甲状腺疾病的常见症状，帮助她们及时识别异常，向医生报告症状，及早进行筛查和治疗。</w:t>
      </w:r>
    </w:p>
    <w:p w14:paraId="78D421E3">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普及治疗的重要性和依从性：</w:t>
      </w:r>
      <w:r>
        <w:rPr>
          <w:rFonts w:hint="eastAsia" w:ascii="仿宋_GB2312" w:hAnsi="仿宋_GB2312" w:eastAsia="仿宋_GB2312" w:cs="仿宋_GB2312"/>
          <w:sz w:val="32"/>
          <w:szCs w:val="32"/>
        </w:rPr>
        <w:t>对于已确诊甲状腺疾病的孕妇，患者教育可以帮助她们理解治疗的必要性，特别是甲状腺功能异常对妊娠结局和胎儿健康的潜在影响。通过向孕妇讲解药物治疗对控制甲状腺功能的重要性，并解释药物的使用方法、剂量及潜在副作用，能够增强孕妇的治疗信心，提高其依从性。患者教育还包括告知孕妇在治疗期间需要定期进行甲状腺功能检测，以及如何管理药物调整。</w:t>
      </w:r>
    </w:p>
    <w:p w14:paraId="4DBB0033">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生活方式的调整建议：</w:t>
      </w:r>
      <w:r>
        <w:rPr>
          <w:rFonts w:hint="eastAsia" w:ascii="仿宋_GB2312" w:hAnsi="仿宋_GB2312" w:eastAsia="仿宋_GB2312" w:cs="仿宋_GB2312"/>
          <w:sz w:val="32"/>
          <w:szCs w:val="32"/>
        </w:rPr>
        <w:t>除了药物治疗，合理的生活方式也对甲状腺健康至关重要。医生应向孕妇提供饮食、休息和运动方面的建议，帮助她们保持健康的体重和促进整体健康。此外，合理的碘摄入对甲状腺功能的维持至关重要，孕妇需要了解饮食中含碘的食物，如海产品，并避免过量或不足的碘摄入。</w:t>
      </w:r>
    </w:p>
    <w:p w14:paraId="057F72E0">
      <w:pPr>
        <w:pStyle w:val="10"/>
        <w:numPr>
          <w:ilvl w:val="0"/>
          <w:numId w:val="8"/>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个体化治疗</w:t>
      </w:r>
    </w:p>
    <w:p w14:paraId="6EA21699">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由于每位孕妇的身体状况、甲状腺疾病的类型、病情的严重程度和妊娠进程各不相同，个体化治疗方案在孕产期甲状腺疾病管理中显得尤为重要。</w:t>
      </w:r>
    </w:p>
    <w:p w14:paraId="1EAB7D22">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根据甲状腺功能的具体情况制定治疗方案：</w:t>
      </w:r>
      <w:r>
        <w:rPr>
          <w:rFonts w:hint="eastAsia" w:ascii="仿宋_GB2312" w:hAnsi="仿宋_GB2312" w:eastAsia="仿宋_GB2312" w:cs="仿宋_GB2312"/>
          <w:sz w:val="32"/>
          <w:szCs w:val="32"/>
        </w:rPr>
        <w:t>对于甲状腺功能减退的孕妇，通常需要通过补充LT4来纠正甲状腺激素水平，确保胎儿获得足够的甲状腺激素以促进正常发育。对于甲状腺功能亢进的孕妇，则需要使用ATDs来抑制过量的甲状腺激素分泌，避免过度的药物治疗对母体和胎儿造成副作用。</w:t>
      </w:r>
    </w:p>
    <w:p w14:paraId="483500F7">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药物调整：</w:t>
      </w:r>
      <w:r>
        <w:rPr>
          <w:rFonts w:hint="eastAsia" w:ascii="仿宋_GB2312" w:hAnsi="仿宋_GB2312" w:eastAsia="仿宋_GB2312" w:cs="仿宋_GB2312"/>
          <w:sz w:val="32"/>
          <w:szCs w:val="32"/>
        </w:rPr>
        <w:t>由于妊娠期的生理变化可能导致甲状腺激素需求的变化，因此在治疗过程中需要根据孕妇的甲状腺功能检测结果调整药物剂量。</w:t>
      </w:r>
    </w:p>
    <w:p w14:paraId="08891E72">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综合考虑母体和胎儿健康：</w:t>
      </w:r>
      <w:r>
        <w:rPr>
          <w:rFonts w:hint="eastAsia" w:ascii="仿宋_GB2312" w:hAnsi="仿宋_GB2312" w:eastAsia="仿宋_GB2312" w:cs="仿宋_GB2312"/>
          <w:sz w:val="32"/>
          <w:szCs w:val="32"/>
        </w:rPr>
        <w:t>个体化治疗方案还应充分考虑孕妇的整体健康状况，包括孕妇年龄、孕期进展、合并症等因素。对于患有多种疾病的孕妇，治疗方案需要多学科协作，确保不只是甲状腺问题得到控制，同时也要考虑到其他健康问题（如高血压、糖尿病等）对妊娠的影响。</w:t>
      </w:r>
    </w:p>
    <w:p w14:paraId="05FD9A19">
      <w:pPr>
        <w:pStyle w:val="10"/>
        <w:numPr>
          <w:ilvl w:val="0"/>
          <w:numId w:val="1"/>
        </w:numPr>
        <w:spacing w:line="360" w:lineRule="auto"/>
        <w:ind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总结与展望</w:t>
      </w:r>
    </w:p>
    <w:p w14:paraId="476B4C9E">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孕产期甲状腺疾病的管理需要结合指南推荐和临床实践，通过早期筛查、规范治疗和定期随访，可以有效改善母胎结局。尽管目前孕产期甲状腺疾病的管理已有一定的临床指南和实践经验，但仍然存在一些未解之谜和优化空间。未来，需要进一步开展高质量的临床研究，特别是大规模、多中心的前瞻性研究，以评估不同治疗策略的效果，探索更精准的筛查方法，以及评估长期治疗对母婴健康的潜在影响。此外，随着对甲状腺疾病发病机制的深入研究，可能会开发出更为有效的治疗药物和方案，从而进一步提高管理水平。医学界还应加强对孕产期甲状腺疾病管理的国际合作，借鉴不同地区的成功经验，制定更加科学、可行的全球管理标准。</w:t>
      </w:r>
    </w:p>
    <w:p w14:paraId="6B6385AC">
      <w:pPr>
        <w:spacing w:line="360" w:lineRule="auto"/>
        <w:rPr>
          <w:rFonts w:hint="eastAsia" w:ascii="仿宋_GB2312" w:hAnsi="仿宋_GB2312" w:eastAsia="仿宋_GB2312" w:cs="仿宋_GB2312"/>
          <w:sz w:val="32"/>
          <w:szCs w:val="32"/>
        </w:rPr>
      </w:pPr>
    </w:p>
    <w:p w14:paraId="62DF6A88">
      <w:pPr>
        <w:spacing w:line="360" w:lineRule="auto"/>
        <w:jc w:val="both"/>
        <w:rPr>
          <w:rFonts w:hint="eastAsia" w:ascii="仿宋_GB2312" w:hAnsi="仿宋_GB2312" w:eastAsia="仿宋_GB2312" w:cs="仿宋_GB2312"/>
          <w:sz w:val="32"/>
          <w:szCs w:val="32"/>
        </w:rPr>
      </w:pPr>
    </w:p>
    <w:p w14:paraId="0B3638B9">
      <w:pPr>
        <w:spacing w:line="360" w:lineRule="auto"/>
        <w:jc w:val="both"/>
        <w:rPr>
          <w:rFonts w:hint="eastAsia" w:ascii="仿宋_GB2312" w:hAnsi="仿宋_GB2312" w:eastAsia="仿宋_GB2312" w:cs="仿宋_GB2312"/>
          <w:sz w:val="32"/>
          <w:szCs w:val="32"/>
        </w:rPr>
      </w:pPr>
    </w:p>
    <w:p w14:paraId="5688AA4E">
      <w:pPr>
        <w:spacing w:line="360" w:lineRule="auto"/>
        <w:jc w:val="both"/>
        <w:rPr>
          <w:rFonts w:hint="eastAsia" w:ascii="仿宋_GB2312" w:hAnsi="仿宋_GB2312" w:eastAsia="仿宋_GB2312" w:cs="仿宋_GB2312"/>
          <w:sz w:val="32"/>
          <w:szCs w:val="32"/>
        </w:rPr>
      </w:pPr>
    </w:p>
    <w:p w14:paraId="2A868A17">
      <w:pPr>
        <w:jc w:val="center"/>
        <w:rPr>
          <w:rFonts w:hint="eastAsia" w:ascii="仿宋_GB2312" w:hAnsi="仿宋_GB2312" w:eastAsia="仿宋_GB2312" w:cs="仿宋_GB2312"/>
          <w:b/>
          <w:bCs/>
          <w:sz w:val="32"/>
          <w:szCs w:val="32"/>
          <w:lang w:eastAsia="zh-CN"/>
        </w:rPr>
      </w:pPr>
    </w:p>
    <w:p w14:paraId="30418F90">
      <w:pPr>
        <w:jc w:val="both"/>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eastAsia="zh-CN"/>
        </w:rPr>
        <w:t>附单选题</w:t>
      </w:r>
      <w:bookmarkStart w:id="0" w:name="_GoBack"/>
      <w:bookmarkEnd w:id="0"/>
    </w:p>
    <w:p w14:paraId="1A2360B1">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 关于妊娠期甲状腺功能的变化，以下哪项是正确的？</w:t>
      </w:r>
    </w:p>
    <w:p w14:paraId="5A41238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妊娠期甲状腺功能无明显变化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血清促甲状腺激素（TSH）在妊娠早期常略升高</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血清甲状腺素结合球蛋白（TBG）水平升高</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妊娠期甲状腺素（T4）水平下降</w:t>
      </w:r>
    </w:p>
    <w:p w14:paraId="61347AE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rect id="_x0000_i1025" o:spt="1" style="height:0.05pt;width:415.3pt;" fillcolor="#A0A0A0" filled="t" stroked="f" coordsize="21600,21600" o:hr="t" o:hrstd="t" o:hralign="center">
            <v:path/>
            <v:fill on="t" focussize="0,0"/>
            <v:stroke on="f"/>
            <v:imagedata o:title=""/>
            <o:lock v:ext="edit"/>
            <w10:wrap type="none"/>
            <w10:anchorlock/>
          </v:rect>
        </w:pict>
      </w:r>
    </w:p>
    <w:p w14:paraId="355BEED9">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 妊娠期甲状腺功能减退（甲减）未控制可能导致哪种不良妊娠结局？</w:t>
      </w:r>
    </w:p>
    <w:p w14:paraId="22E6C92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早产</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巨大儿</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羊水过多</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妊娠期糖尿病</w:t>
      </w:r>
    </w:p>
    <w:p w14:paraId="5A0CD0C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rect id="_x0000_i1026" o:spt="1" style="height:0.05pt;width:415.3pt;" fillcolor="#A0A0A0" filled="t" stroked="f" coordsize="21600,21600" o:hr="t" o:hrstd="t" o:hralign="center">
            <v:path/>
            <v:fill on="t" focussize="0,0"/>
            <v:stroke on="f"/>
            <v:imagedata o:title=""/>
            <o:lock v:ext="edit"/>
            <w10:wrap type="none"/>
            <w10:anchorlock/>
          </v:rect>
        </w:pict>
      </w:r>
    </w:p>
    <w:p w14:paraId="38B183BC">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 妊娠期甲状腺功能减退的首选治疗药物是？</w:t>
      </w:r>
    </w:p>
    <w:p w14:paraId="0D17944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甲状腺素（左旋甲状腺素, LT4）</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碘化钾</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甲巯咪唑（MMI）</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丙硫氧嘧啶（PTU）</w:t>
      </w:r>
    </w:p>
    <w:p w14:paraId="2409F54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rect id="_x0000_i1027" o:spt="1" style="height:0.05pt;width:415.3pt;" fillcolor="#A0A0A0" filled="t" stroked="f" coordsize="21600,21600" o:hr="t" o:hrstd="t" o:hralign="center">
            <v:path/>
            <v:fill on="t" focussize="0,0"/>
            <v:stroke on="f"/>
            <v:imagedata o:title=""/>
            <o:lock v:ext="edit"/>
            <w10:wrap type="none"/>
            <w10:anchorlock/>
          </v:rect>
        </w:pict>
      </w:r>
    </w:p>
    <w:p w14:paraId="2D12AD5C">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 关于妊娠期甲状腺功能亢进（甲亢）的治疗，下列哪项是正确的？</w:t>
      </w:r>
    </w:p>
    <w:p w14:paraId="409167B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妊娠期甲亢不需要治疗</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甲亢治疗首选左旋甲状腺素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甲巯咪唑（MMI）在妊娠早期更安全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丙硫氧嘧啶（PTU）在妊娠早期更安全</w:t>
      </w:r>
    </w:p>
    <w:p w14:paraId="6E6C3E6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rect id="_x0000_i1028" o:spt="1" style="height:0.05pt;width:415.3pt;" fillcolor="#A0A0A0" filled="t" stroked="f" coordsize="21600,21600" o:hr="t" o:hrstd="t" o:hralign="center">
            <v:path/>
            <v:fill on="t" focussize="0,0"/>
            <v:stroke on="f"/>
            <v:imagedata o:title=""/>
            <o:lock v:ext="edit"/>
            <w10:wrap type="none"/>
            <w10:anchorlock/>
          </v:rect>
        </w:pict>
      </w:r>
    </w:p>
    <w:p w14:paraId="49A4295A">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 妊娠期甲状腺功能减退的TSH目标控制范围通常是？</w:t>
      </w:r>
    </w:p>
    <w:p w14:paraId="39D3334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0.1–2.5 mIU/L（妊娠早期）</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2.5–5.0 mIU/L（妊娠早期）</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3.0–6.0 mIU/L（妊娠早期）</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4.0–10.0 mIU/L（妊娠早期）</w:t>
      </w:r>
    </w:p>
    <w:p w14:paraId="6597F07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rect id="_x0000_i1029" o:spt="1" style="height:0.05pt;width:415.3pt;" fillcolor="#A0A0A0" filled="t" stroked="f" coordsize="21600,21600" o:hr="t" o:hrstd="t" o:hralign="center">
            <v:path/>
            <v:fill on="t" focussize="0,0"/>
            <v:stroke on="f"/>
            <v:imagedata o:title=""/>
            <o:lock v:ext="edit"/>
            <w10:wrap type="none"/>
            <w10:anchorlock/>
          </v:rect>
        </w:pict>
      </w:r>
    </w:p>
    <w:p w14:paraId="10F0F70D">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 甲状腺自身抗体（TPOAb）阳性的孕妇可能增加以下哪种风险？</w:t>
      </w:r>
    </w:p>
    <w:p w14:paraId="07425DD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妊娠期糖尿病</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胎儿畸形</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先兆子痫</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妊娠期高血压</w:t>
      </w:r>
    </w:p>
    <w:p w14:paraId="2C61E7D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rect id="_x0000_i1030" o:spt="1" style="height:0.05pt;width:415.3pt;" fillcolor="#A0A0A0" filled="t" stroked="f" coordsize="21600,21600" o:hr="t" o:hrstd="t" o:hralign="center">
            <v:path/>
            <v:fill on="t" focussize="0,0"/>
            <v:stroke on="f"/>
            <v:imagedata o:title=""/>
            <o:lock v:ext="edit"/>
            <w10:wrap type="none"/>
            <w10:anchorlock/>
          </v:rect>
        </w:pict>
      </w:r>
    </w:p>
    <w:p w14:paraId="4307E079">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 孕期碘摄入的推荐量（RNI）是多少？</w:t>
      </w:r>
    </w:p>
    <w:p w14:paraId="203B52B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100 µg/天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150 µg/天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250 µg/天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400 µg/天</w:t>
      </w:r>
    </w:p>
    <w:p w14:paraId="51212F4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rect id="_x0000_i1031" o:spt="1" style="height:0.05pt;width:415.3pt;" fillcolor="#A0A0A0" filled="t" stroked="f" coordsize="21600,21600" o:hr="t" o:hrstd="t" o:hralign="center">
            <v:path/>
            <v:fill on="t" focussize="0,0"/>
            <v:stroke on="f"/>
            <v:imagedata o:title=""/>
            <o:lock v:ext="edit"/>
            <w10:wrap type="none"/>
            <w10:anchorlock/>
          </v:rect>
        </w:pict>
      </w:r>
    </w:p>
    <w:p w14:paraId="011F7E0E">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 以下哪种情况需要孕期甲状腺功能筛查？</w:t>
      </w:r>
    </w:p>
    <w:p w14:paraId="3033889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有甲状腺疾病家族史</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既往有不明原因的流产史</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孕前或孕期有甲状腺肿</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以上都是</w:t>
      </w:r>
    </w:p>
    <w:p w14:paraId="2061F7F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rect id="_x0000_i1032" o:spt="1" style="height:0.05pt;width:415.3pt;" fillcolor="#A0A0A0" filled="t" stroked="f" coordsize="21600,21600" o:hr="t" o:hrstd="t" o:hralign="center">
            <v:path/>
            <v:fill on="t" focussize="0,0"/>
            <v:stroke on="f"/>
            <v:imagedata o:title=""/>
            <o:lock v:ext="edit"/>
            <w10:wrap type="none"/>
            <w10:anchorlock/>
          </v:rect>
        </w:pict>
      </w:r>
    </w:p>
    <w:p w14:paraId="697329A1">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 妊娠期甲状腺功能减退患者服用左旋甲状腺素（LT4）时，以下哪项是正确的？</w:t>
      </w:r>
    </w:p>
    <w:p w14:paraId="0210F05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应在早餐前或睡前服用，与含铁、钙制剂同服可增强吸收</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服药后应与含铁、钙的补充剂间隔至少4小时</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剂量无需调整，保持孕前水平即可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甲状腺功能正常后可自行停药</w:t>
      </w:r>
    </w:p>
    <w:p w14:paraId="7610CF0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rect id="_x0000_i1033" o:spt="1" style="height:0.05pt;width:415.3pt;" fillcolor="#A0A0A0" filled="t" stroked="f" coordsize="21600,21600" o:hr="t" o:hrstd="t" o:hralign="center">
            <v:path/>
            <v:fill on="t" focussize="0,0"/>
            <v:stroke on="f"/>
            <v:imagedata o:title=""/>
            <o:lock v:ext="edit"/>
            <w10:wrap type="none"/>
            <w10:anchorlock/>
          </v:rect>
        </w:pict>
      </w:r>
    </w:p>
    <w:p w14:paraId="7DE26D45">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 关于妊娠期甲状腺疾病的产后管理，以下哪项是正确的？</w:t>
      </w:r>
    </w:p>
    <w:p w14:paraId="7286DF5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甲亢患者产后无需随访</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甲减患者产后应立即停药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甲状腺自身抗体阳性产妇产后可能有甲状腺功能异常风险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产后甲状腺炎不会影响泌乳</w:t>
      </w:r>
    </w:p>
    <w:p w14:paraId="22EF43BF">
      <w:pPr>
        <w:spacing w:line="360" w:lineRule="auto"/>
        <w:jc w:val="both"/>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0F2595"/>
    <w:multiLevelType w:val="multilevel"/>
    <w:tmpl w:val="150F2595"/>
    <w:lvl w:ilvl="0" w:tentative="0">
      <w:start w:val="1"/>
      <w:numFmt w:val="decimal"/>
      <w:lvlText w:val="4.3.%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CA5589F"/>
    <w:multiLevelType w:val="multilevel"/>
    <w:tmpl w:val="3CA5589F"/>
    <w:lvl w:ilvl="0" w:tentative="0">
      <w:start w:val="1"/>
      <w:numFmt w:val="decimal"/>
      <w:lvlText w:val="3.%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AE8796A"/>
    <w:multiLevelType w:val="multilevel"/>
    <w:tmpl w:val="4AE8796A"/>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4D2265A0"/>
    <w:multiLevelType w:val="multilevel"/>
    <w:tmpl w:val="4D2265A0"/>
    <w:lvl w:ilvl="0" w:tentative="0">
      <w:start w:val="1"/>
      <w:numFmt w:val="decimal"/>
      <w:lvlText w:val="4.1.%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53F4075A"/>
    <w:multiLevelType w:val="multilevel"/>
    <w:tmpl w:val="53F4075A"/>
    <w:lvl w:ilvl="0" w:tentative="0">
      <w:start w:val="1"/>
      <w:numFmt w:val="decimal"/>
      <w:lvlText w:val="4.2.%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568E5C21"/>
    <w:multiLevelType w:val="multilevel"/>
    <w:tmpl w:val="568E5C21"/>
    <w:lvl w:ilvl="0" w:tentative="0">
      <w:start w:val="1"/>
      <w:numFmt w:val="decimal"/>
      <w:lvlText w:val="5.%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5D15414A"/>
    <w:multiLevelType w:val="multilevel"/>
    <w:tmpl w:val="5D15414A"/>
    <w:lvl w:ilvl="0" w:tentative="0">
      <w:start w:val="1"/>
      <w:numFmt w:val="decimal"/>
      <w:lvlText w:val="4.%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68B5450B"/>
    <w:multiLevelType w:val="multilevel"/>
    <w:tmpl w:val="68B5450B"/>
    <w:lvl w:ilvl="0" w:tentative="0">
      <w:start w:val="1"/>
      <w:numFmt w:val="decimal"/>
      <w:lvlText w:val="6.%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1"/>
  </w:num>
  <w:num w:numId="3">
    <w:abstractNumId w:val="6"/>
  </w:num>
  <w:num w:numId="4">
    <w:abstractNumId w:val="3"/>
  </w:num>
  <w:num w:numId="5">
    <w:abstractNumId w:val="4"/>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66"/>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9FF7733"/>
    <w:rsid w:val="00006979"/>
    <w:rsid w:val="0002056D"/>
    <w:rsid w:val="00024CA5"/>
    <w:rsid w:val="00027913"/>
    <w:rsid w:val="00045E36"/>
    <w:rsid w:val="00085475"/>
    <w:rsid w:val="000B62ED"/>
    <w:rsid w:val="000C0509"/>
    <w:rsid w:val="000E3E36"/>
    <w:rsid w:val="00106E9F"/>
    <w:rsid w:val="00114861"/>
    <w:rsid w:val="00127FCA"/>
    <w:rsid w:val="00132040"/>
    <w:rsid w:val="00137B0C"/>
    <w:rsid w:val="001409D0"/>
    <w:rsid w:val="00194660"/>
    <w:rsid w:val="001C6949"/>
    <w:rsid w:val="001E505D"/>
    <w:rsid w:val="001F178E"/>
    <w:rsid w:val="001F6294"/>
    <w:rsid w:val="00202DF7"/>
    <w:rsid w:val="00227D39"/>
    <w:rsid w:val="002417A9"/>
    <w:rsid w:val="00265ACC"/>
    <w:rsid w:val="002F2C49"/>
    <w:rsid w:val="00330C35"/>
    <w:rsid w:val="003B729F"/>
    <w:rsid w:val="00456917"/>
    <w:rsid w:val="004749BB"/>
    <w:rsid w:val="004B6683"/>
    <w:rsid w:val="00537FD4"/>
    <w:rsid w:val="005A3D35"/>
    <w:rsid w:val="005F32BC"/>
    <w:rsid w:val="00604EBE"/>
    <w:rsid w:val="00692AFB"/>
    <w:rsid w:val="00722A5A"/>
    <w:rsid w:val="00764E3D"/>
    <w:rsid w:val="00791303"/>
    <w:rsid w:val="007C19A7"/>
    <w:rsid w:val="007D3FCF"/>
    <w:rsid w:val="007F2203"/>
    <w:rsid w:val="008005E1"/>
    <w:rsid w:val="00820B45"/>
    <w:rsid w:val="00820E42"/>
    <w:rsid w:val="00845706"/>
    <w:rsid w:val="008A22DC"/>
    <w:rsid w:val="008D29BA"/>
    <w:rsid w:val="00922C93"/>
    <w:rsid w:val="009D46EE"/>
    <w:rsid w:val="009E36B5"/>
    <w:rsid w:val="009E7854"/>
    <w:rsid w:val="00A43A42"/>
    <w:rsid w:val="00A71ACC"/>
    <w:rsid w:val="00A9604E"/>
    <w:rsid w:val="00AD47F3"/>
    <w:rsid w:val="00AD6B05"/>
    <w:rsid w:val="00B60F82"/>
    <w:rsid w:val="00BC1ED0"/>
    <w:rsid w:val="00BD2397"/>
    <w:rsid w:val="00BE2756"/>
    <w:rsid w:val="00BF3ACF"/>
    <w:rsid w:val="00BF538D"/>
    <w:rsid w:val="00C45844"/>
    <w:rsid w:val="00C52FDD"/>
    <w:rsid w:val="00C802E2"/>
    <w:rsid w:val="00C83E7D"/>
    <w:rsid w:val="00C94F1C"/>
    <w:rsid w:val="00CE5BAD"/>
    <w:rsid w:val="00D32429"/>
    <w:rsid w:val="00D819A2"/>
    <w:rsid w:val="00DD04BA"/>
    <w:rsid w:val="00DD2FFD"/>
    <w:rsid w:val="00E24C22"/>
    <w:rsid w:val="00E43B3A"/>
    <w:rsid w:val="00E91580"/>
    <w:rsid w:val="00E94CF6"/>
    <w:rsid w:val="00ED50D3"/>
    <w:rsid w:val="00F142AA"/>
    <w:rsid w:val="00F26CC1"/>
    <w:rsid w:val="00F45DF8"/>
    <w:rsid w:val="00F81C2F"/>
    <w:rsid w:val="00F86F8B"/>
    <w:rsid w:val="00F91BC4"/>
    <w:rsid w:val="00FA59B3"/>
    <w:rsid w:val="00FD20F9"/>
    <w:rsid w:val="0F7BB3C4"/>
    <w:rsid w:val="0FED0220"/>
    <w:rsid w:val="1EFDED21"/>
    <w:rsid w:val="1F7F5FC3"/>
    <w:rsid w:val="1FA379BD"/>
    <w:rsid w:val="2D2D8B8A"/>
    <w:rsid w:val="2EFBF471"/>
    <w:rsid w:val="2FF78BA1"/>
    <w:rsid w:val="3D5F9259"/>
    <w:rsid w:val="3DEB1370"/>
    <w:rsid w:val="3FBB123F"/>
    <w:rsid w:val="3FFF9F6B"/>
    <w:rsid w:val="4167462B"/>
    <w:rsid w:val="447F41B2"/>
    <w:rsid w:val="49DF23A4"/>
    <w:rsid w:val="56170EE2"/>
    <w:rsid w:val="5DEEAB1A"/>
    <w:rsid w:val="5DF76BA8"/>
    <w:rsid w:val="62FFF9A6"/>
    <w:rsid w:val="637EE6D0"/>
    <w:rsid w:val="65A7C40D"/>
    <w:rsid w:val="65FF6D76"/>
    <w:rsid w:val="67CB7B0B"/>
    <w:rsid w:val="67F88312"/>
    <w:rsid w:val="69BB858D"/>
    <w:rsid w:val="6BEE8DD3"/>
    <w:rsid w:val="6F3BB1FD"/>
    <w:rsid w:val="75F71F33"/>
    <w:rsid w:val="77E9AE53"/>
    <w:rsid w:val="77EED446"/>
    <w:rsid w:val="77EF3762"/>
    <w:rsid w:val="77F2DB18"/>
    <w:rsid w:val="78F71272"/>
    <w:rsid w:val="79239A4C"/>
    <w:rsid w:val="7BEF9B53"/>
    <w:rsid w:val="7BFD6E7B"/>
    <w:rsid w:val="7BFF7859"/>
    <w:rsid w:val="7EBDCE8C"/>
    <w:rsid w:val="7F63FCF0"/>
    <w:rsid w:val="7F7FB454"/>
    <w:rsid w:val="7F7FDD84"/>
    <w:rsid w:val="7FC7A1BB"/>
    <w:rsid w:val="7FDAE287"/>
    <w:rsid w:val="7FDF0797"/>
    <w:rsid w:val="7FDF4126"/>
    <w:rsid w:val="7FFF37A9"/>
    <w:rsid w:val="7FFF612B"/>
    <w:rsid w:val="8F3E92C8"/>
    <w:rsid w:val="9475BE5C"/>
    <w:rsid w:val="999F59E0"/>
    <w:rsid w:val="9FF769CF"/>
    <w:rsid w:val="AFEB7B86"/>
    <w:rsid w:val="B9FF7733"/>
    <w:rsid w:val="BADFC784"/>
    <w:rsid w:val="BBEB5CA2"/>
    <w:rsid w:val="BF6AA598"/>
    <w:rsid w:val="BF7F0C93"/>
    <w:rsid w:val="BFFF1620"/>
    <w:rsid w:val="BFFFA92C"/>
    <w:rsid w:val="CB975C5C"/>
    <w:rsid w:val="CDE7EF0F"/>
    <w:rsid w:val="D77A124E"/>
    <w:rsid w:val="DA3EEF96"/>
    <w:rsid w:val="DBFDBB6B"/>
    <w:rsid w:val="DBFE66C4"/>
    <w:rsid w:val="E1FFAF35"/>
    <w:rsid w:val="E5FE16BC"/>
    <w:rsid w:val="E5FFB3B3"/>
    <w:rsid w:val="E7F73C4D"/>
    <w:rsid w:val="EDD80F9C"/>
    <w:rsid w:val="EDDF06ED"/>
    <w:rsid w:val="EEEB5D4E"/>
    <w:rsid w:val="EF2EC0A1"/>
    <w:rsid w:val="EFFA9054"/>
    <w:rsid w:val="F3F92705"/>
    <w:rsid w:val="F4F1F80A"/>
    <w:rsid w:val="F55FC35A"/>
    <w:rsid w:val="F5E21FD7"/>
    <w:rsid w:val="F70EDBB3"/>
    <w:rsid w:val="F8B33D96"/>
    <w:rsid w:val="FB839CDD"/>
    <w:rsid w:val="FBBF4D44"/>
    <w:rsid w:val="FBBF8526"/>
    <w:rsid w:val="FD47E1EA"/>
    <w:rsid w:val="FD6F014B"/>
    <w:rsid w:val="FEDF7917"/>
    <w:rsid w:val="FFBFCCD9"/>
    <w:rsid w:val="FFCE9166"/>
    <w:rsid w:val="FFEDE4D9"/>
    <w:rsid w:val="FFF35FAA"/>
    <w:rsid w:val="FFFE9C84"/>
    <w:rsid w:val="FFFEE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6"/>
    <w:basedOn w:val="1"/>
    <w:next w:val="1"/>
    <w:semiHidden/>
    <w:unhideWhenUsed/>
    <w:qFormat/>
    <w:uiPriority w:val="0"/>
    <w:pPr>
      <w:widowControl w:val="0"/>
      <w:spacing w:beforeAutospacing="1" w:afterAutospacing="1"/>
      <w:outlineLvl w:val="5"/>
    </w:pPr>
    <w:rPr>
      <w:rFonts w:hint="eastAsia" w:cs="Times New Roman"/>
      <w:b/>
      <w:bCs/>
      <w:sz w:val="15"/>
      <w:szCs w:val="15"/>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note text"/>
    <w:basedOn w:val="1"/>
    <w:link w:val="13"/>
    <w:qFormat/>
    <w:uiPriority w:val="0"/>
    <w:pPr>
      <w:snapToGrid w:val="0"/>
    </w:pPr>
    <w:rPr>
      <w:sz w:val="18"/>
      <w:szCs w:val="18"/>
    </w:rPr>
  </w:style>
  <w:style w:type="paragraph" w:styleId="4">
    <w:name w:val="Normal (Web)"/>
    <w:basedOn w:val="1"/>
    <w:qFormat/>
    <w:uiPriority w:val="0"/>
    <w:pPr>
      <w:widowControl w:val="0"/>
      <w:spacing w:beforeAutospacing="1" w:afterAutospacing="1"/>
    </w:pPr>
    <w:rPr>
      <w:rFonts w:cs="Times New Roman" w:asciiTheme="minorHAnsi" w:hAnsiTheme="minorHAnsi" w:eastAsiaTheme="minorEastAsia"/>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footnote reference"/>
    <w:basedOn w:val="7"/>
    <w:qFormat/>
    <w:uiPriority w:val="0"/>
    <w:rPr>
      <w:vertAlign w:val="superscript"/>
    </w:rPr>
  </w:style>
  <w:style w:type="paragraph" w:styleId="10">
    <w:name w:val="List Paragraph"/>
    <w:basedOn w:val="1"/>
    <w:unhideWhenUsed/>
    <w:qFormat/>
    <w:uiPriority w:val="99"/>
    <w:pPr>
      <w:widowControl w:val="0"/>
      <w:ind w:firstLine="420" w:firstLineChars="200"/>
      <w:jc w:val="both"/>
    </w:pPr>
    <w:rPr>
      <w:rFonts w:asciiTheme="minorHAnsi" w:hAnsiTheme="minorHAnsi" w:eastAsiaTheme="minorEastAsia" w:cstheme="minorBidi"/>
      <w:kern w:val="2"/>
      <w:sz w:val="21"/>
    </w:rPr>
  </w:style>
  <w:style w:type="character" w:styleId="11">
    <w:name w:val="Placeholder Text"/>
    <w:basedOn w:val="7"/>
    <w:unhideWhenUsed/>
    <w:qFormat/>
    <w:uiPriority w:val="99"/>
    <w:rPr>
      <w:color w:val="666666"/>
    </w:rPr>
  </w:style>
  <w:style w:type="paragraph" w:customStyle="1" w:styleId="12">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3">
    <w:name w:val="脚注文本 字符"/>
    <w:basedOn w:val="7"/>
    <w:link w:val="3"/>
    <w:qFormat/>
    <w:uiPriority w:val="0"/>
    <w:rPr>
      <w:rFonts w:ascii="宋体" w:hAnsi="宋体" w:eastAsia="宋体" w:cs="宋体"/>
      <w:sz w:val="18"/>
      <w:szCs w:val="18"/>
    </w:rPr>
  </w:style>
  <w:style w:type="paragraph" w:customStyle="1" w:styleId="14">
    <w:name w:val="Bibliography"/>
    <w:basedOn w:val="1"/>
    <w:next w:val="1"/>
    <w:unhideWhenUsed/>
    <w:qFormat/>
    <w:uiPriority w:val="37"/>
    <w:pPr>
      <w:tabs>
        <w:tab w:val="left" w:pos="380"/>
      </w:tabs>
      <w:ind w:left="384" w:hanging="3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6850</Words>
  <Characters>7455</Characters>
  <Lines>90</Lines>
  <Paragraphs>25</Paragraphs>
  <TotalTime>135</TotalTime>
  <ScaleCrop>false</ScaleCrop>
  <LinksUpToDate>false</LinksUpToDate>
  <CharactersWithSpaces>7543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2025-03-25T03:53:00Z</dcterms:created>
  <dc:creator>WPS_1467772032</dc:creator>
  <cp:lastModifiedBy>lenovo</cp:lastModifiedBy>
  <dcterms:modified xsi:type="dcterms:W3CDTF">2025-06-17T08:18:56Z</dcterms:modified>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A462D2113EAEB5CB41F6DF6771BFC128_41</vt:lpwstr>
  </property>
  <property fmtid="{D5CDD505-2E9C-101B-9397-08002B2CF9AE}" pid="4" name="ZOTERO_PREF_1">
    <vt:lpwstr>&lt;data data-version="3" zotero-version="7.0.6"&gt;&lt;session id="6W1rBMpm"/&gt;&lt;style id="http://www.zotero.org/styles/ieee" locale="zh-CN" hasBibliography="1" bibliographyStyleHasBeenSet="1"/&gt;&lt;prefs&gt;&lt;pref name="fieldType" value="Field"/&gt;&lt;pref name="automaticJourn</vt:lpwstr>
  </property>
  <property fmtid="{D5CDD505-2E9C-101B-9397-08002B2CF9AE}" pid="5" name="ZOTERO_PREF_2">
    <vt:lpwstr>alAbbreviations" value="true"/&gt;&lt;/prefs&gt;&lt;/data&gt;</vt:lpwstr>
  </property>
  <property fmtid="{D5CDD505-2E9C-101B-9397-08002B2CF9AE}" pid="6" name="KSOTemplateDocerSaveRecord">
    <vt:lpwstr>eyJoZGlkIjoiMDAxYmE2ZWJmM2RkM2I4YjQwM2FjMjkzN2EyMTE1MGUifQ==</vt:lpwstr>
  </property>
</Properties>
</file>